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15CFC" w:rsidRPr="00615CFC" w:rsidRDefault="009E7D37" w:rsidP="00244F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656A3A">
        <w:rPr>
          <w:b/>
          <w:sz w:val="24"/>
          <w:lang w:eastAsia="ru-RU"/>
        </w:rPr>
        <w:t>на право заключения договора поставки</w:t>
      </w:r>
      <w:r w:rsidR="00244F40" w:rsidRPr="00244F40">
        <w:t xml:space="preserve"> </w:t>
      </w:r>
      <w:r w:rsidR="00244F40" w:rsidRPr="00244F40">
        <w:rPr>
          <w:b/>
          <w:sz w:val="24"/>
          <w:lang w:eastAsia="ru-RU"/>
        </w:rPr>
        <w:t>оборудования (газовая горелка с газовой рампой для горелки) для нужд филиала АО «АТЭК» «</w:t>
      </w:r>
      <w:proofErr w:type="spellStart"/>
      <w:r w:rsidR="00244F40" w:rsidRPr="00244F40">
        <w:rPr>
          <w:b/>
          <w:sz w:val="24"/>
          <w:lang w:eastAsia="ru-RU"/>
        </w:rPr>
        <w:t>Краснодартеплоэнерго</w:t>
      </w:r>
      <w:proofErr w:type="spellEnd"/>
      <w:r w:rsidR="00244F40" w:rsidRPr="00244F40">
        <w:rPr>
          <w:b/>
          <w:sz w:val="24"/>
          <w:lang w:eastAsia="ru-RU"/>
        </w:rPr>
        <w:t>»</w:t>
      </w:r>
    </w:p>
    <w:p w:rsidR="00774B24" w:rsidRPr="00653E1C" w:rsidRDefault="00774B24" w:rsidP="00653E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244F40" w:rsidRPr="00244F40">
        <w:rPr>
          <w:i/>
          <w:sz w:val="24"/>
          <w:lang w:eastAsia="ru-RU"/>
        </w:rPr>
        <w:t>оборудования (газовая горелка с газовой рампой для горелки) для нужд филиала АО «АТЭК» «</w:t>
      </w:r>
      <w:proofErr w:type="spellStart"/>
      <w:r w:rsidR="00244F40" w:rsidRPr="00244F40">
        <w:rPr>
          <w:i/>
          <w:sz w:val="24"/>
          <w:lang w:eastAsia="ru-RU"/>
        </w:rPr>
        <w:t>Краснодартеплоэнерго</w:t>
      </w:r>
      <w:proofErr w:type="spellEnd"/>
      <w:r w:rsidR="00244F40" w:rsidRPr="00244F40">
        <w:rPr>
          <w:i/>
          <w:sz w:val="24"/>
          <w:lang w:eastAsia="ru-RU"/>
        </w:rPr>
        <w:t>»</w:t>
      </w:r>
      <w:r w:rsidR="00244F40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</w:t>
      </w:r>
      <w:r w:rsidR="001D15FA">
        <w:rPr>
          <w:color w:val="000000" w:themeColor="text1"/>
          <w:sz w:val="24"/>
        </w:rPr>
        <w:t>я на основании счета в течение 30 (тридцати</w:t>
      </w:r>
      <w:r w:rsidR="00656A3A">
        <w:rPr>
          <w:color w:val="000000" w:themeColor="text1"/>
          <w:sz w:val="24"/>
        </w:rPr>
        <w:t>) календарных дне</w:t>
      </w:r>
      <w:r w:rsidR="004A3901">
        <w:rPr>
          <w:color w:val="000000" w:themeColor="text1"/>
          <w:sz w:val="24"/>
        </w:rPr>
        <w:t>й с момента поставки</w:t>
      </w:r>
      <w:r w:rsidR="00244F40">
        <w:rPr>
          <w:color w:val="000000" w:themeColor="text1"/>
          <w:sz w:val="24"/>
        </w:rPr>
        <w:t>.</w:t>
      </w:r>
    </w:p>
    <w:p w:rsidR="00656A3A" w:rsidRPr="00DA49D7" w:rsidRDefault="00BA230B" w:rsidP="00DA49D7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656A3A">
        <w:rPr>
          <w:sz w:val="24"/>
          <w:lang w:eastAsia="ru-RU"/>
        </w:rPr>
        <w:t>Грузополучатель Филиала АО «АТЭК» «</w:t>
      </w:r>
      <w:proofErr w:type="spellStart"/>
      <w:r w:rsidR="00656A3A">
        <w:rPr>
          <w:sz w:val="24"/>
          <w:lang w:eastAsia="ru-RU"/>
        </w:rPr>
        <w:t>Краснодартеплоэнерго</w:t>
      </w:r>
      <w:proofErr w:type="spellEnd"/>
      <w:r w:rsidR="00656A3A">
        <w:rPr>
          <w:sz w:val="24"/>
          <w:lang w:eastAsia="ru-RU"/>
        </w:rPr>
        <w:t xml:space="preserve">»: </w:t>
      </w:r>
      <w:r w:rsidR="00656A3A" w:rsidRPr="00074109">
        <w:rPr>
          <w:sz w:val="24"/>
          <w:lang w:eastAsia="ru-RU"/>
        </w:rPr>
        <w:t xml:space="preserve">Россия, Краснодарский край, г. </w:t>
      </w:r>
      <w:r w:rsidR="00656A3A"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 w:rsidR="00656A3A">
        <w:rPr>
          <w:sz w:val="24"/>
          <w:lang w:eastAsia="ru-RU"/>
        </w:rPr>
        <w:t>Селез</w:t>
      </w:r>
      <w:r w:rsidR="00615CFC">
        <w:rPr>
          <w:sz w:val="24"/>
          <w:lang w:eastAsia="ru-RU"/>
        </w:rPr>
        <w:t>нева, 199, поставка согласно условиям Технического задания.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3E30F4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3E30F4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>поставки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244F40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C8" w:rsidRDefault="00A745C8" w:rsidP="0084590D">
      <w:r>
        <w:separator/>
      </w:r>
    </w:p>
  </w:endnote>
  <w:endnote w:type="continuationSeparator" w:id="0">
    <w:p w:rsidR="00A745C8" w:rsidRDefault="00A745C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C8" w:rsidRDefault="00A745C8" w:rsidP="0084590D">
      <w:r>
        <w:separator/>
      </w:r>
    </w:p>
  </w:footnote>
  <w:footnote w:type="continuationSeparator" w:id="0">
    <w:p w:rsidR="00A745C8" w:rsidRDefault="00A745C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59A8"/>
    <w:rsid w:val="002169AD"/>
    <w:rsid w:val="00217F29"/>
    <w:rsid w:val="00222557"/>
    <w:rsid w:val="00226773"/>
    <w:rsid w:val="00234917"/>
    <w:rsid w:val="00235C16"/>
    <w:rsid w:val="002424F6"/>
    <w:rsid w:val="00244F40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03F0"/>
    <w:rsid w:val="003E30F4"/>
    <w:rsid w:val="003E4A3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24BB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CFC"/>
    <w:rsid w:val="00615D16"/>
    <w:rsid w:val="00617382"/>
    <w:rsid w:val="006202CC"/>
    <w:rsid w:val="0062334D"/>
    <w:rsid w:val="00627FB6"/>
    <w:rsid w:val="00630065"/>
    <w:rsid w:val="00632A04"/>
    <w:rsid w:val="0063589D"/>
    <w:rsid w:val="00653CFA"/>
    <w:rsid w:val="00653E1C"/>
    <w:rsid w:val="00656A3A"/>
    <w:rsid w:val="006577FB"/>
    <w:rsid w:val="00660DA2"/>
    <w:rsid w:val="00660DA7"/>
    <w:rsid w:val="00666D34"/>
    <w:rsid w:val="00667595"/>
    <w:rsid w:val="0066792B"/>
    <w:rsid w:val="00670E29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2ED5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1238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9748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5C8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63D0"/>
    <w:rsid w:val="00D05A78"/>
    <w:rsid w:val="00D06A5C"/>
    <w:rsid w:val="00D06A5E"/>
    <w:rsid w:val="00D13B68"/>
    <w:rsid w:val="00D16085"/>
    <w:rsid w:val="00D31E56"/>
    <w:rsid w:val="00D31EC6"/>
    <w:rsid w:val="00D37211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2322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69AE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1477E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BB6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219B"/>
    <w:rsid w:val="00FD3BCD"/>
    <w:rsid w:val="00FD4926"/>
    <w:rsid w:val="00FD717B"/>
    <w:rsid w:val="00FD7BEE"/>
    <w:rsid w:val="00FE0D95"/>
    <w:rsid w:val="00FE398D"/>
    <w:rsid w:val="00FE4506"/>
    <w:rsid w:val="00FF3C1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201</cp:revision>
  <cp:lastPrinted>2016-09-02T09:56:00Z</cp:lastPrinted>
  <dcterms:created xsi:type="dcterms:W3CDTF">2012-09-10T07:20:00Z</dcterms:created>
  <dcterms:modified xsi:type="dcterms:W3CDTF">2016-09-02T10:06:00Z</dcterms:modified>
</cp:coreProperties>
</file>